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980" w:rsidRDefault="00A77980">
      <w:pPr>
        <w:rPr>
          <w:rFonts w:hint="cs"/>
          <w:rtl/>
        </w:rPr>
      </w:pPr>
    </w:p>
    <w:p w:rsidR="00902995" w:rsidRDefault="00902995">
      <w:pPr>
        <w:rPr>
          <w:rtl/>
        </w:rPr>
      </w:pPr>
    </w:p>
    <w:p w:rsidR="00902995" w:rsidRDefault="00902995">
      <w:pPr>
        <w:rPr>
          <w:rtl/>
        </w:rPr>
      </w:pPr>
      <w:r>
        <w:rPr>
          <w:noProof/>
        </w:rPr>
        <w:drawing>
          <wp:inline distT="0" distB="0" distL="0" distR="0" wp14:anchorId="1D89B9BC" wp14:editId="72EE1DE8">
            <wp:extent cx="4805362" cy="2867025"/>
            <wp:effectExtent l="0" t="0" r="14605" b="9525"/>
            <wp:docPr id="1" name="مخطط 1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C88B4CA1-2E86-4100-8A8D-CB4845191F3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02995" w:rsidRPr="00C876C4" w:rsidRDefault="00ED3DF2" w:rsidP="00902995">
      <w:pPr>
        <w:bidi w:val="0"/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>Supplementary figure 1</w:t>
      </w:r>
      <w:bookmarkStart w:id="0" w:name="_GoBack"/>
      <w:bookmarkEnd w:id="0"/>
      <w:r w:rsidR="00902995" w:rsidRPr="00C876C4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>: The effects of exercise on serum levels of CPK &amp;LDH in control groups</w:t>
      </w:r>
      <w:r w:rsidR="00C876C4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>. * significant in comparison with control group</w:t>
      </w:r>
    </w:p>
    <w:p w:rsidR="00902995" w:rsidRPr="00C876C4" w:rsidRDefault="00902995">
      <w:pPr>
        <w:rPr>
          <w:sz w:val="24"/>
          <w:szCs w:val="24"/>
        </w:rPr>
      </w:pPr>
    </w:p>
    <w:sectPr w:rsidR="00902995" w:rsidRPr="00C876C4" w:rsidSect="00415A3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9C4"/>
    <w:rsid w:val="003B09C4"/>
    <w:rsid w:val="00415A3E"/>
    <w:rsid w:val="00902995"/>
    <w:rsid w:val="00A77980"/>
    <w:rsid w:val="00C876C4"/>
    <w:rsid w:val="00ED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2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29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2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29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pc\Downloads\Copy%20of%20Graphs(552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EG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ورقة2!$B$1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tx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ورقة2!$D$2:$D$3</c:f>
                <c:numCache>
                  <c:formatCode>General</c:formatCode>
                  <c:ptCount val="2"/>
                  <c:pt idx="0">
                    <c:v>23.8</c:v>
                  </c:pt>
                  <c:pt idx="1">
                    <c:v>15.99</c:v>
                  </c:pt>
                </c:numCache>
              </c:numRef>
            </c:plus>
            <c:minus>
              <c:numRef>
                <c:f>ورقة2!$D$2:$D$3</c:f>
                <c:numCache>
                  <c:formatCode>General</c:formatCode>
                  <c:ptCount val="2"/>
                  <c:pt idx="0">
                    <c:v>23.8</c:v>
                  </c:pt>
                  <c:pt idx="1">
                    <c:v>15.99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ورقة2!$A$2:$A$3</c:f>
              <c:strCache>
                <c:ptCount val="2"/>
                <c:pt idx="0">
                  <c:v>CPK</c:v>
                </c:pt>
                <c:pt idx="1">
                  <c:v>LDH</c:v>
                </c:pt>
              </c:strCache>
            </c:strRef>
          </c:cat>
          <c:val>
            <c:numRef>
              <c:f>ورقة2!$B$2:$B$3</c:f>
              <c:numCache>
                <c:formatCode>General</c:formatCode>
                <c:ptCount val="2"/>
                <c:pt idx="0">
                  <c:v>145.5</c:v>
                </c:pt>
                <c:pt idx="1">
                  <c:v>85.5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104-4528-84CA-5E3F3162E181}"/>
            </c:ext>
          </c:extLst>
        </c:ser>
        <c:ser>
          <c:idx val="1"/>
          <c:order val="1"/>
          <c:tx>
            <c:strRef>
              <c:f>ورقة2!$C$1</c:f>
              <c:strCache>
                <c:ptCount val="1"/>
                <c:pt idx="0">
                  <c:v>control\exercise</c:v>
                </c:pt>
              </c:strCache>
            </c:strRef>
          </c:tx>
          <c:spPr>
            <a:solidFill>
              <a:schemeClr val="tx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ورقة2!$E$2:$E$3</c:f>
                <c:numCache>
                  <c:formatCode>General</c:formatCode>
                  <c:ptCount val="2"/>
                  <c:pt idx="0">
                    <c:v>50.25</c:v>
                  </c:pt>
                  <c:pt idx="1">
                    <c:v>13.8</c:v>
                  </c:pt>
                </c:numCache>
              </c:numRef>
            </c:plus>
            <c:minus>
              <c:numRef>
                <c:f>ورقة2!$E$2:$E$3</c:f>
                <c:numCache>
                  <c:formatCode>General</c:formatCode>
                  <c:ptCount val="2"/>
                  <c:pt idx="0">
                    <c:v>50.25</c:v>
                  </c:pt>
                  <c:pt idx="1">
                    <c:v>13.8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ورقة2!$A$2:$A$3</c:f>
              <c:strCache>
                <c:ptCount val="2"/>
                <c:pt idx="0">
                  <c:v>CPK</c:v>
                </c:pt>
                <c:pt idx="1">
                  <c:v>LDH</c:v>
                </c:pt>
              </c:strCache>
            </c:strRef>
          </c:cat>
          <c:val>
            <c:numRef>
              <c:f>ورقة2!$C$2:$C$3</c:f>
              <c:numCache>
                <c:formatCode>General</c:formatCode>
                <c:ptCount val="2"/>
                <c:pt idx="0">
                  <c:v>417.7</c:v>
                </c:pt>
                <c:pt idx="1">
                  <c:v>168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104-4528-84CA-5E3F3162E1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7773056"/>
        <c:axId val="97774592"/>
      </c:barChart>
      <c:catAx>
        <c:axId val="97773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97774592"/>
        <c:crosses val="autoZero"/>
        <c:auto val="1"/>
        <c:lblAlgn val="ctr"/>
        <c:lblOffset val="100"/>
        <c:noMultiLvlLbl val="0"/>
      </c:catAx>
      <c:valAx>
        <c:axId val="977745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Mean in</a:t>
                </a:r>
                <a:r>
                  <a:rPr lang="en-US" baseline="0"/>
                  <a:t> u/ml</a:t>
                </a:r>
                <a:endParaRPr lang="ar-SA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97773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ar-EG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EG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0.77899</cdr:x>
      <cdr:y>0.39867</cdr:y>
    </cdr:from>
    <cdr:to>
      <cdr:x>0.85034</cdr:x>
      <cdr:y>0.47508</cdr:y>
    </cdr:to>
    <cdr:sp macro="" textlink="">
      <cdr:nvSpPr>
        <cdr:cNvPr id="10" name="مربع نص 9"/>
        <cdr:cNvSpPr txBox="1"/>
      </cdr:nvSpPr>
      <cdr:spPr>
        <a:xfrm xmlns:a="http://schemas.openxmlformats.org/drawingml/2006/main">
          <a:off x="3743344" y="1143004"/>
          <a:ext cx="342863" cy="21907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1"/>
        <a:lstStyle xmlns:a="http://schemas.openxmlformats.org/drawingml/2006/main"/>
        <a:p xmlns:a="http://schemas.openxmlformats.org/drawingml/2006/main">
          <a:r>
            <a:rPr lang="en-US" sz="1100"/>
            <a:t>                  **</a:t>
          </a:r>
          <a:endParaRPr lang="ar-EG" sz="1100"/>
        </a:p>
      </cdr:txBody>
    </cdr:sp>
  </cdr:relSizeAnchor>
  <cdr:relSizeAnchor xmlns:cdr="http://schemas.openxmlformats.org/drawingml/2006/chartDrawing">
    <cdr:from>
      <cdr:x>0.79088</cdr:x>
      <cdr:y>0.36213</cdr:y>
    </cdr:from>
    <cdr:to>
      <cdr:x>0.86819</cdr:x>
      <cdr:y>0.46512</cdr:y>
    </cdr:to>
    <cdr:sp macro="" textlink="">
      <cdr:nvSpPr>
        <cdr:cNvPr id="3" name="مربع نص 2"/>
        <cdr:cNvSpPr txBox="1"/>
      </cdr:nvSpPr>
      <cdr:spPr>
        <a:xfrm xmlns:a="http://schemas.openxmlformats.org/drawingml/2006/main">
          <a:off x="3800475" y="1038225"/>
          <a:ext cx="371475" cy="295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1"/>
        <a:lstStyle xmlns:a="http://schemas.openxmlformats.org/drawingml/2006/main"/>
        <a:p xmlns:a="http://schemas.openxmlformats.org/drawingml/2006/main">
          <a:r>
            <a:rPr lang="en-US" sz="1400"/>
            <a:t>*</a:t>
          </a:r>
          <a:endParaRPr lang="ar-EG" sz="1400"/>
        </a:p>
      </cdr:txBody>
    </cdr:sp>
  </cdr:relSizeAnchor>
</c:userShape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2020-01-17T09:05:00Z</dcterms:created>
  <dcterms:modified xsi:type="dcterms:W3CDTF">2020-02-19T08:39:00Z</dcterms:modified>
</cp:coreProperties>
</file>